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  <w:bookmarkStart w:id="1" w:name="_GoBack"/>
      <w:bookmarkEnd w:id="1"/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E821E0">
      <w:pPr>
        <w:tabs>
          <w:tab w:val="left" w:pos="2799"/>
        </w:tabs>
        <w:spacing w:before="0" w:after="0"/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en-GB"/>
        </w:rPr>
        <w:tab/>
      </w:r>
    </w:p>
    <w:p w:rsidR="004D2FD8" w:rsidRPr="00764FC7" w:rsidRDefault="004D2FD8" w:rsidP="00543884">
      <w:pPr>
        <w:spacing w:before="0" w:after="0"/>
        <w:rPr>
          <w:rFonts w:ascii="Times New Roman" w:hAnsi="Times New Roman"/>
          <w:szCs w:val="32"/>
          <w:lang w:val="en-GB"/>
        </w:rPr>
      </w:pPr>
      <w:r w:rsidRPr="00E821E0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 w:rsidP="00543884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2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27FB">
        <w:rPr>
          <w:rFonts w:ascii="Times New Roman" w:hAnsi="Times New Roman"/>
          <w:smallCaps/>
          <w:sz w:val="28"/>
          <w:szCs w:val="28"/>
        </w:rPr>
        <w:t>.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0707D3" w:rsidRPr="000707D3">
        <w:rPr>
          <w:rFonts w:ascii="Times New Roman" w:hAnsi="Times New Roman"/>
        </w:rPr>
        <w:t>HR-RS253-6/equipment for SARS-CoV-2 diagnostics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4F3B61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Pr="0029536D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0707D3" w:rsidRPr="000707D3" w:rsidRDefault="000707D3" w:rsidP="000707D3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0707D3">
        <w:rPr>
          <w:rFonts w:ascii="Times New Roman" w:hAnsi="Times New Roman"/>
          <w:b/>
          <w:sz w:val="22"/>
          <w:szCs w:val="22"/>
          <w:lang w:val="en-GB"/>
        </w:rPr>
        <w:t>Institut za javno zdravlje Vojvodine</w:t>
      </w:r>
    </w:p>
    <w:p w:rsidR="000707D3" w:rsidRPr="000707D3" w:rsidRDefault="000707D3" w:rsidP="000707D3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0707D3">
        <w:rPr>
          <w:rFonts w:ascii="Times New Roman" w:hAnsi="Times New Roman"/>
          <w:b/>
          <w:sz w:val="22"/>
          <w:szCs w:val="22"/>
          <w:lang w:val="en-GB"/>
        </w:rPr>
        <w:t>Futoška no. 121, 21000 Novi Sad</w:t>
      </w:r>
    </w:p>
    <w:p w:rsidR="000707D3" w:rsidRPr="000707D3" w:rsidRDefault="000707D3" w:rsidP="000707D3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0707D3">
        <w:rPr>
          <w:rFonts w:ascii="Times New Roman" w:hAnsi="Times New Roman"/>
          <w:b/>
          <w:sz w:val="22"/>
          <w:szCs w:val="22"/>
          <w:lang w:val="en-GB"/>
        </w:rPr>
        <w:t>Official registration number: 08246912</w:t>
      </w:r>
    </w:p>
    <w:p w:rsidR="004F3B61" w:rsidRPr="0029536D" w:rsidRDefault="000707D3" w:rsidP="000707D3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0707D3">
        <w:rPr>
          <w:rFonts w:ascii="Times New Roman" w:hAnsi="Times New Roman"/>
          <w:b/>
          <w:sz w:val="22"/>
          <w:szCs w:val="22"/>
          <w:lang w:val="en-GB"/>
        </w:rPr>
        <w:t>VAT number: 100452714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F3B61" w:rsidRDefault="00B90C14" w:rsidP="004F3B61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4F3B6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B138D9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B138D9" w:rsidRPr="00B138D9">
        <w:rPr>
          <w:rFonts w:ascii="Times New Roman" w:hAnsi="Times New Roman"/>
          <w:b/>
          <w:sz w:val="24"/>
          <w:szCs w:val="24"/>
          <w:lang w:val="en-GB"/>
        </w:rPr>
        <w:t>Mosquito Control in Cross-border Area 2</w:t>
      </w:r>
      <w:r w:rsidR="00D128CF">
        <w:rPr>
          <w:rFonts w:ascii="Times New Roman" w:hAnsi="Times New Roman"/>
          <w:b/>
          <w:sz w:val="28"/>
          <w:lang w:val="en-GB"/>
        </w:rPr>
        <w:t xml:space="preserve">; Ref. no. </w:t>
      </w:r>
      <w:r w:rsidR="00B138D9" w:rsidRPr="00B138D9">
        <w:rPr>
          <w:rFonts w:ascii="Times New Roman" w:hAnsi="Times New Roman"/>
          <w:b/>
          <w:sz w:val="24"/>
          <w:szCs w:val="24"/>
          <w:lang w:val="en-GB"/>
        </w:rPr>
        <w:t>HR-RS253</w:t>
      </w:r>
    </w:p>
    <w:p w:rsidR="004D2FD8" w:rsidRPr="007B70EE" w:rsidRDefault="00E727FB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CONTRACT TITLE</w:t>
      </w:r>
      <w:r w:rsidRPr="00E727FB">
        <w:rPr>
          <w:rFonts w:ascii="Times New Roman" w:hAnsi="Times New Roman"/>
          <w:b/>
          <w:sz w:val="28"/>
          <w:lang w:val="en-GB"/>
        </w:rPr>
        <w:t xml:space="preserve">: </w:t>
      </w:r>
      <w:r w:rsidR="000707D3" w:rsidRPr="000707D3">
        <w:rPr>
          <w:rFonts w:ascii="Times New Roman" w:hAnsi="Times New Roman"/>
          <w:b/>
          <w:sz w:val="22"/>
          <w:szCs w:val="22"/>
        </w:rPr>
        <w:t>Supply and delivery of equipment for SARS-CoV-2 diagnostics for the project MOS-Cross2</w:t>
      </w:r>
    </w:p>
    <w:p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707D3" w:rsidRPr="000707D3">
        <w:rPr>
          <w:rFonts w:ascii="Times New Roman" w:hAnsi="Times New Roman"/>
          <w:b/>
        </w:rPr>
        <w:t>HR-RS253-6/equipment for SARS-CoV-2 diagnostics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Default="004D2FD8" w:rsidP="00CC367C">
      <w:pPr>
        <w:numPr>
          <w:ilvl w:val="1"/>
          <w:numId w:val="40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sz w:val="22"/>
          <w:lang w:val="en-GB"/>
        </w:rPr>
        <w:t xml:space="preserve">the </w:t>
      </w:r>
      <w:r w:rsidR="004F3B61" w:rsidRPr="004F3B61">
        <w:rPr>
          <w:rFonts w:ascii="Times New Roman" w:hAnsi="Times New Roman"/>
          <w:b/>
          <w:sz w:val="22"/>
          <w:lang w:val="en-GB"/>
        </w:rPr>
        <w:t>supply</w:t>
      </w:r>
      <w:r w:rsidR="00C121B3">
        <w:rPr>
          <w:rFonts w:ascii="Times New Roman" w:hAnsi="Times New Roman"/>
          <w:b/>
          <w:sz w:val="22"/>
          <w:lang w:val="en-GB"/>
        </w:rPr>
        <w:t xml:space="preserve"> </w:t>
      </w:r>
      <w:r w:rsidR="00C121B3">
        <w:rPr>
          <w:rFonts w:ascii="Times New Roman" w:hAnsi="Times New Roman"/>
          <w:sz w:val="22"/>
          <w:lang w:val="en-GB"/>
        </w:rPr>
        <w:t>and</w:t>
      </w:r>
      <w:r w:rsidR="004F3B61" w:rsidRP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b/>
          <w:sz w:val="22"/>
          <w:lang w:val="en-GB"/>
        </w:rPr>
        <w:t xml:space="preserve">delivery </w:t>
      </w:r>
      <w:r w:rsidR="004F3B61" w:rsidRPr="004F3B61">
        <w:rPr>
          <w:rFonts w:ascii="Times New Roman" w:hAnsi="Times New Roman"/>
          <w:sz w:val="22"/>
          <w:lang w:val="en-GB"/>
        </w:rPr>
        <w:t>of the following supplies:</w:t>
      </w:r>
    </w:p>
    <w:p w:rsidR="00106773" w:rsidRDefault="00106773" w:rsidP="0010677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5490"/>
        <w:gridCol w:w="1762"/>
      </w:tblGrid>
      <w:tr w:rsidR="002A7C79" w:rsidTr="00626E70">
        <w:tc>
          <w:tcPr>
            <w:tcW w:w="958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4F3B61" w:rsidRPr="002A7C79" w:rsidRDefault="004F3B61" w:rsidP="00626E7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4F3B61" w:rsidRPr="002A7C79" w:rsidRDefault="004F3B61" w:rsidP="00626E7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354945" w:rsidTr="00626E70">
        <w:trPr>
          <w:trHeight w:val="530"/>
        </w:trPr>
        <w:tc>
          <w:tcPr>
            <w:tcW w:w="958" w:type="dxa"/>
            <w:shd w:val="clear" w:color="auto" w:fill="auto"/>
            <w:vAlign w:val="center"/>
          </w:tcPr>
          <w:p w:rsidR="00354945" w:rsidRPr="00DD2FBB" w:rsidRDefault="00354945" w:rsidP="0035494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-50" w:right="-1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0" w:type="dxa"/>
            <w:shd w:val="clear" w:color="auto" w:fill="auto"/>
          </w:tcPr>
          <w:p w:rsidR="00354945" w:rsidRPr="00354945" w:rsidRDefault="00354945" w:rsidP="00354945">
            <w:pPr>
              <w:rPr>
                <w:rFonts w:ascii="Times New Roman" w:hAnsi="Times New Roman"/>
                <w:sz w:val="24"/>
                <w:szCs w:val="24"/>
              </w:rPr>
            </w:pPr>
            <w:r w:rsidRPr="00354945">
              <w:rPr>
                <w:rFonts w:ascii="Times New Roman" w:hAnsi="Times New Roman"/>
                <w:sz w:val="24"/>
                <w:szCs w:val="24"/>
              </w:rPr>
              <w:t>Multichannel (8-channel) electronic pipette, variable, volume 0,5-10 µl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354945" w:rsidRDefault="00354945" w:rsidP="00354945">
            <w:pPr>
              <w:pStyle w:val="TableContents"/>
              <w:jc w:val="center"/>
              <w:rPr>
                <w:rFonts w:hint="eastAsia"/>
              </w:rPr>
            </w:pPr>
            <w:r>
              <w:t>1 pc</w:t>
            </w:r>
          </w:p>
        </w:tc>
      </w:tr>
      <w:tr w:rsidR="00354945" w:rsidTr="00626E70">
        <w:trPr>
          <w:trHeight w:val="530"/>
        </w:trPr>
        <w:tc>
          <w:tcPr>
            <w:tcW w:w="958" w:type="dxa"/>
            <w:shd w:val="clear" w:color="auto" w:fill="auto"/>
            <w:vAlign w:val="center"/>
          </w:tcPr>
          <w:p w:rsidR="00354945" w:rsidRPr="00DD2FBB" w:rsidRDefault="00354945" w:rsidP="0035494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-50" w:right="-1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0" w:type="dxa"/>
            <w:shd w:val="clear" w:color="auto" w:fill="auto"/>
          </w:tcPr>
          <w:p w:rsidR="00354945" w:rsidRPr="00354945" w:rsidRDefault="00354945" w:rsidP="00354945">
            <w:pPr>
              <w:rPr>
                <w:rFonts w:ascii="Times New Roman" w:hAnsi="Times New Roman"/>
                <w:sz w:val="24"/>
                <w:szCs w:val="24"/>
              </w:rPr>
            </w:pPr>
            <w:r w:rsidRPr="00354945">
              <w:rPr>
                <w:rFonts w:ascii="Times New Roman" w:hAnsi="Times New Roman"/>
                <w:sz w:val="24"/>
                <w:szCs w:val="24"/>
              </w:rPr>
              <w:t>Multichannel (8-channel) electronic pipette, variable, volume 10-100 µl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354945" w:rsidRDefault="00354945" w:rsidP="00354945">
            <w:pPr>
              <w:pStyle w:val="TableContents"/>
              <w:jc w:val="center"/>
              <w:rPr>
                <w:rFonts w:hint="eastAsia"/>
              </w:rPr>
            </w:pPr>
            <w:r>
              <w:t>1 pc</w:t>
            </w:r>
          </w:p>
        </w:tc>
      </w:tr>
      <w:tr w:rsidR="00354945" w:rsidTr="00626E70">
        <w:trPr>
          <w:trHeight w:val="530"/>
        </w:trPr>
        <w:tc>
          <w:tcPr>
            <w:tcW w:w="958" w:type="dxa"/>
            <w:shd w:val="clear" w:color="auto" w:fill="auto"/>
            <w:vAlign w:val="center"/>
          </w:tcPr>
          <w:p w:rsidR="00354945" w:rsidRPr="00DD2FBB" w:rsidRDefault="00354945" w:rsidP="0035494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-50" w:right="-1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0" w:type="dxa"/>
            <w:shd w:val="clear" w:color="auto" w:fill="auto"/>
          </w:tcPr>
          <w:p w:rsidR="00354945" w:rsidRPr="00354945" w:rsidRDefault="00354945" w:rsidP="00354945">
            <w:pPr>
              <w:rPr>
                <w:rFonts w:ascii="Times New Roman" w:hAnsi="Times New Roman"/>
                <w:sz w:val="24"/>
                <w:szCs w:val="24"/>
              </w:rPr>
            </w:pPr>
            <w:r w:rsidRPr="00354945">
              <w:rPr>
                <w:rFonts w:ascii="Times New Roman" w:hAnsi="Times New Roman"/>
                <w:sz w:val="24"/>
                <w:szCs w:val="24"/>
              </w:rPr>
              <w:t>Mini centrifuge/vortex with rotor for 12 x 1,5/2 ml tubes and 2 x 8-section 0,2 ml microtube strips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354945" w:rsidRDefault="00354945" w:rsidP="00354945">
            <w:pPr>
              <w:pStyle w:val="TableContents"/>
              <w:jc w:val="center"/>
              <w:rPr>
                <w:rFonts w:hint="eastAsia"/>
              </w:rPr>
            </w:pPr>
            <w:r>
              <w:t>1 pc</w:t>
            </w:r>
          </w:p>
        </w:tc>
      </w:tr>
      <w:tr w:rsidR="00354945" w:rsidTr="00626E70">
        <w:trPr>
          <w:trHeight w:val="530"/>
        </w:trPr>
        <w:tc>
          <w:tcPr>
            <w:tcW w:w="958" w:type="dxa"/>
            <w:shd w:val="clear" w:color="auto" w:fill="auto"/>
            <w:vAlign w:val="center"/>
          </w:tcPr>
          <w:p w:rsidR="00354945" w:rsidRPr="00DD2FBB" w:rsidRDefault="00354945" w:rsidP="0035494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-50" w:right="-1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0" w:type="dxa"/>
            <w:shd w:val="clear" w:color="auto" w:fill="auto"/>
          </w:tcPr>
          <w:p w:rsidR="00354945" w:rsidRPr="00354945" w:rsidRDefault="00354945" w:rsidP="00354945">
            <w:pPr>
              <w:rPr>
                <w:rFonts w:ascii="Times New Roman" w:hAnsi="Times New Roman"/>
                <w:sz w:val="24"/>
                <w:szCs w:val="24"/>
              </w:rPr>
            </w:pPr>
            <w:r w:rsidRPr="00354945">
              <w:rPr>
                <w:rFonts w:ascii="Times New Roman" w:hAnsi="Times New Roman"/>
                <w:sz w:val="24"/>
                <w:szCs w:val="24"/>
              </w:rPr>
              <w:t xml:space="preserve">Centrifuge for PCR plates 2 x standard (96 wells) plates 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354945" w:rsidRDefault="00354945" w:rsidP="00354945">
            <w:pPr>
              <w:pStyle w:val="TableContents"/>
              <w:jc w:val="center"/>
              <w:rPr>
                <w:rFonts w:hint="eastAsia"/>
              </w:rPr>
            </w:pPr>
            <w:r>
              <w:t>1 pc</w:t>
            </w:r>
          </w:p>
        </w:tc>
      </w:tr>
      <w:tr w:rsidR="00354945" w:rsidTr="00626E70">
        <w:trPr>
          <w:trHeight w:val="530"/>
        </w:trPr>
        <w:tc>
          <w:tcPr>
            <w:tcW w:w="958" w:type="dxa"/>
            <w:shd w:val="clear" w:color="auto" w:fill="auto"/>
            <w:vAlign w:val="center"/>
          </w:tcPr>
          <w:p w:rsidR="00354945" w:rsidRPr="00DD2FBB" w:rsidRDefault="00354945" w:rsidP="0035494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-50" w:right="-1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0" w:type="dxa"/>
            <w:shd w:val="clear" w:color="auto" w:fill="auto"/>
          </w:tcPr>
          <w:p w:rsidR="00354945" w:rsidRPr="00354945" w:rsidRDefault="00354945" w:rsidP="00354945">
            <w:pPr>
              <w:rPr>
                <w:rFonts w:ascii="Times New Roman" w:hAnsi="Times New Roman"/>
                <w:sz w:val="24"/>
                <w:szCs w:val="24"/>
              </w:rPr>
            </w:pPr>
            <w:r w:rsidRPr="00354945">
              <w:rPr>
                <w:rFonts w:ascii="Times New Roman" w:hAnsi="Times New Roman"/>
                <w:sz w:val="24"/>
                <w:szCs w:val="24"/>
              </w:rPr>
              <w:t>Single-channel pipette, variable, volume 0,5-10 µl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354945" w:rsidRDefault="00354945" w:rsidP="00354945">
            <w:pPr>
              <w:pStyle w:val="TableContents"/>
              <w:jc w:val="center"/>
              <w:rPr>
                <w:rFonts w:hint="eastAsia"/>
              </w:rPr>
            </w:pPr>
            <w:r>
              <w:t>1 pc</w:t>
            </w:r>
          </w:p>
        </w:tc>
      </w:tr>
      <w:tr w:rsidR="00354945" w:rsidTr="00626E70">
        <w:trPr>
          <w:trHeight w:val="530"/>
        </w:trPr>
        <w:tc>
          <w:tcPr>
            <w:tcW w:w="958" w:type="dxa"/>
            <w:shd w:val="clear" w:color="auto" w:fill="auto"/>
            <w:vAlign w:val="center"/>
          </w:tcPr>
          <w:p w:rsidR="00354945" w:rsidRPr="00DD2FBB" w:rsidRDefault="00354945" w:rsidP="0035494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-50" w:right="-1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0" w:type="dxa"/>
            <w:shd w:val="clear" w:color="auto" w:fill="auto"/>
          </w:tcPr>
          <w:p w:rsidR="00354945" w:rsidRPr="00354945" w:rsidRDefault="00354945" w:rsidP="00354945">
            <w:pPr>
              <w:rPr>
                <w:rFonts w:ascii="Times New Roman" w:hAnsi="Times New Roman"/>
                <w:sz w:val="24"/>
                <w:szCs w:val="24"/>
              </w:rPr>
            </w:pPr>
            <w:r w:rsidRPr="00354945">
              <w:rPr>
                <w:rFonts w:ascii="Times New Roman" w:hAnsi="Times New Roman"/>
                <w:sz w:val="24"/>
                <w:szCs w:val="24"/>
              </w:rPr>
              <w:t>Single-channel pipette, variable, volume 10-100 µl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354945" w:rsidRDefault="00354945" w:rsidP="00354945">
            <w:pPr>
              <w:pStyle w:val="TableContents"/>
              <w:jc w:val="center"/>
              <w:rPr>
                <w:rFonts w:hint="eastAsia"/>
              </w:rPr>
            </w:pPr>
            <w:r>
              <w:t>1 pc</w:t>
            </w:r>
          </w:p>
        </w:tc>
      </w:tr>
      <w:tr w:rsidR="00354945" w:rsidTr="00626E70">
        <w:trPr>
          <w:trHeight w:val="530"/>
        </w:trPr>
        <w:tc>
          <w:tcPr>
            <w:tcW w:w="958" w:type="dxa"/>
            <w:shd w:val="clear" w:color="auto" w:fill="auto"/>
            <w:vAlign w:val="center"/>
          </w:tcPr>
          <w:p w:rsidR="00354945" w:rsidRPr="00DD2FBB" w:rsidRDefault="00354945" w:rsidP="0035494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-50" w:right="-1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0" w:type="dxa"/>
            <w:shd w:val="clear" w:color="auto" w:fill="auto"/>
          </w:tcPr>
          <w:p w:rsidR="00354945" w:rsidRPr="00354945" w:rsidRDefault="00354945" w:rsidP="00354945">
            <w:pPr>
              <w:rPr>
                <w:rFonts w:ascii="Times New Roman" w:hAnsi="Times New Roman"/>
                <w:sz w:val="24"/>
                <w:szCs w:val="24"/>
              </w:rPr>
            </w:pPr>
            <w:r w:rsidRPr="00354945">
              <w:rPr>
                <w:rFonts w:ascii="Times New Roman" w:hAnsi="Times New Roman"/>
                <w:sz w:val="24"/>
                <w:szCs w:val="24"/>
              </w:rPr>
              <w:t>Single-channel pipette, variable, volume 100-1000 µl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354945" w:rsidRDefault="00354945" w:rsidP="00354945">
            <w:pPr>
              <w:pStyle w:val="TableContents"/>
              <w:jc w:val="center"/>
              <w:rPr>
                <w:rFonts w:hint="eastAsia"/>
              </w:rPr>
            </w:pPr>
            <w:r>
              <w:t>1 pc</w:t>
            </w:r>
          </w:p>
        </w:tc>
      </w:tr>
    </w:tbl>
    <w:p w:rsidR="009B0CF1" w:rsidRPr="007B70EE" w:rsidRDefault="004F3B6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026B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707D3">
        <w:rPr>
          <w:rFonts w:ascii="Times New Roman" w:hAnsi="Times New Roman"/>
          <w:b/>
          <w:sz w:val="22"/>
          <w:lang w:val="en-GB"/>
        </w:rPr>
        <w:t>Novi Sad</w:t>
      </w:r>
      <w:r w:rsidRPr="00026B42">
        <w:rPr>
          <w:rFonts w:ascii="Times New Roman" w:hAnsi="Times New Roman"/>
          <w:b/>
          <w:sz w:val="22"/>
          <w:lang w:val="en-GB"/>
        </w:rPr>
        <w:t xml:space="preserve">, </w:t>
      </w:r>
      <w:r w:rsidR="000707D3">
        <w:rPr>
          <w:rFonts w:ascii="Times New Roman" w:hAnsi="Times New Roman"/>
          <w:b/>
          <w:sz w:val="22"/>
          <w:lang w:val="en-GB"/>
        </w:rPr>
        <w:t>Futoška</w:t>
      </w:r>
      <w:r w:rsidRPr="00026B42">
        <w:rPr>
          <w:rFonts w:ascii="Times New Roman" w:hAnsi="Times New Roman"/>
          <w:b/>
          <w:sz w:val="22"/>
          <w:lang w:val="en-GB"/>
        </w:rPr>
        <w:t xml:space="preserve"> no. </w:t>
      </w:r>
      <w:r w:rsidR="000707D3">
        <w:rPr>
          <w:rFonts w:ascii="Times New Roman" w:hAnsi="Times New Roman"/>
          <w:b/>
          <w:sz w:val="22"/>
          <w:lang w:val="en-GB"/>
        </w:rPr>
        <w:t>121</w:t>
      </w:r>
      <w:r w:rsidRPr="00026B42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0707D3">
        <w:rPr>
          <w:rFonts w:ascii="Times New Roman" w:hAnsi="Times New Roman"/>
          <w:b/>
          <w:sz w:val="22"/>
          <w:lang w:val="en-GB"/>
        </w:rPr>
        <w:t>1</w:t>
      </w:r>
      <w:r w:rsidRPr="00260A13">
        <w:rPr>
          <w:rFonts w:ascii="Times New Roman" w:hAnsi="Times New Roman"/>
          <w:b/>
          <w:sz w:val="22"/>
          <w:lang w:val="en-GB"/>
        </w:rPr>
        <w:t xml:space="preserve"> month</w:t>
      </w:r>
      <w:r w:rsidRPr="001D68EC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026B42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026B42">
        <w:rPr>
          <w:rFonts w:ascii="Times New Roman" w:hAnsi="Times New Roman"/>
          <w:b/>
          <w:sz w:val="22"/>
          <w:lang w:val="en-GB"/>
        </w:rPr>
        <w:t>DDP</w:t>
      </w:r>
      <w:r w:rsidRPr="00026B4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26B42">
        <w:rPr>
          <w:rFonts w:ascii="Times New Roman" w:hAnsi="Times New Roman"/>
          <w:b/>
          <w:sz w:val="22"/>
          <w:lang w:val="en-GB"/>
        </w:rPr>
        <w:t xml:space="preserve"> excluding VAT</w:t>
      </w:r>
      <w:r w:rsidRPr="00026B42">
        <w:rPr>
          <w:rFonts w:ascii="Times New Roman" w:hAnsi="Times New Roman"/>
          <w:sz w:val="22"/>
          <w:lang w:val="en-GB"/>
        </w:rPr>
        <w:t xml:space="preserve">. The implementation period of tasks shall run from </w:t>
      </w:r>
      <w:r w:rsidR="000707D3">
        <w:rPr>
          <w:rFonts w:ascii="Times New Roman" w:hAnsi="Times New Roman"/>
          <w:b/>
          <w:sz w:val="22"/>
          <w:lang w:val="en-GB"/>
        </w:rPr>
        <w:t>November 23</w:t>
      </w:r>
      <w:r w:rsidR="000707D3" w:rsidRPr="000707D3">
        <w:rPr>
          <w:rFonts w:ascii="Times New Roman" w:hAnsi="Times New Roman"/>
          <w:b/>
          <w:sz w:val="22"/>
          <w:vertAlign w:val="superscript"/>
          <w:lang w:val="en-GB"/>
        </w:rPr>
        <w:t>rd</w:t>
      </w:r>
      <w:r w:rsidR="000707D3">
        <w:rPr>
          <w:rFonts w:ascii="Times New Roman" w:hAnsi="Times New Roman"/>
          <w:b/>
          <w:sz w:val="22"/>
          <w:lang w:val="en-GB"/>
        </w:rPr>
        <w:t xml:space="preserve"> </w:t>
      </w:r>
      <w:r w:rsidRPr="00260A13">
        <w:rPr>
          <w:rFonts w:ascii="Times New Roman" w:hAnsi="Times New Roman"/>
          <w:b/>
          <w:sz w:val="22"/>
          <w:lang w:val="en-GB"/>
        </w:rPr>
        <w:t>202</w:t>
      </w:r>
      <w:r w:rsidR="00C121B3">
        <w:rPr>
          <w:rFonts w:ascii="Times New Roman" w:hAnsi="Times New Roman"/>
          <w:b/>
          <w:sz w:val="22"/>
          <w:lang w:val="en-GB"/>
        </w:rPr>
        <w:t>2</w:t>
      </w:r>
      <w:r w:rsidRPr="00026B42">
        <w:rPr>
          <w:rFonts w:ascii="Times New Roman" w:hAnsi="Times New Roman"/>
          <w:sz w:val="22"/>
          <w:lang w:val="en-GB"/>
        </w:rPr>
        <w:t xml:space="preserve"> to </w:t>
      </w:r>
      <w:r w:rsidR="000707D3">
        <w:rPr>
          <w:rFonts w:ascii="Times New Roman" w:hAnsi="Times New Roman"/>
          <w:b/>
          <w:sz w:val="22"/>
          <w:lang w:val="en-GB"/>
        </w:rPr>
        <w:t>December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DD2FBB">
        <w:rPr>
          <w:rFonts w:ascii="Times New Roman" w:hAnsi="Times New Roman"/>
          <w:b/>
          <w:sz w:val="22"/>
          <w:lang w:val="en-GB"/>
        </w:rPr>
        <w:t>2</w:t>
      </w:r>
      <w:r w:rsidR="000707D3">
        <w:rPr>
          <w:rFonts w:ascii="Times New Roman" w:hAnsi="Times New Roman"/>
          <w:b/>
          <w:sz w:val="22"/>
          <w:lang w:val="en-GB"/>
        </w:rPr>
        <w:t>3</w:t>
      </w:r>
      <w:r w:rsidR="000707D3">
        <w:rPr>
          <w:rFonts w:ascii="Times New Roman" w:hAnsi="Times New Roman"/>
          <w:b/>
          <w:sz w:val="22"/>
          <w:vertAlign w:val="superscript"/>
          <w:lang w:val="en-GB"/>
        </w:rPr>
        <w:t>rd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F83F80">
        <w:rPr>
          <w:rFonts w:ascii="Times New Roman" w:hAnsi="Times New Roman"/>
          <w:b/>
          <w:sz w:val="22"/>
          <w:lang w:val="en-GB"/>
        </w:rPr>
        <w:t>2</w:t>
      </w:r>
      <w:r w:rsidRPr="00260A13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4F3B61">
        <w:rPr>
          <w:rFonts w:ascii="Times New Roman" w:hAnsi="Times New Roman"/>
          <w:sz w:val="22"/>
          <w:lang w:val="en-GB"/>
        </w:rPr>
        <w:t>N/A.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CD51B2">
      <w:pPr>
        <w:spacing w:before="0"/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  <w:r w:rsidR="004F3B61">
        <w:rPr>
          <w:rFonts w:ascii="Times New Roman" w:hAnsi="Times New Roman"/>
          <w:sz w:val="22"/>
          <w:lang w:val="en-GB"/>
        </w:rPr>
        <w:t xml:space="preserve"> RSD.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9216AC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9216AC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9216AC">
        <w:rPr>
          <w:rFonts w:ascii="Times New Roman" w:hAnsi="Times New Roman"/>
          <w:sz w:val="22"/>
          <w:highlight w:val="lightGray"/>
          <w:lang w:val="en-GB"/>
        </w:rPr>
        <w:t>)</w:t>
      </w:r>
      <w:r w:rsidRPr="009216AC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62E45" w:rsidRDefault="007C75E0" w:rsidP="00B62E45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F3B61">
        <w:rPr>
          <w:rFonts w:ascii="Times New Roman" w:hAnsi="Times New Roman"/>
          <w:sz w:val="22"/>
          <w:lang w:val="en-GB"/>
        </w:rPr>
        <w:lastRenderedPageBreak/>
        <w:t xml:space="preserve">specified </w:t>
      </w:r>
      <w:r w:rsidR="00B80DE8" w:rsidRPr="004F3B6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F3B6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F3B61">
        <w:rPr>
          <w:rFonts w:ascii="Times New Roman" w:hAnsi="Times New Roman"/>
          <w:sz w:val="22"/>
          <w:lang w:val="en-GB"/>
        </w:rPr>
        <w:t>)</w:t>
      </w:r>
      <w:r w:rsidR="00B80DE8" w:rsidRPr="004F3B61">
        <w:rPr>
          <w:rFonts w:ascii="Times New Roman" w:hAnsi="Times New Roman"/>
          <w:sz w:val="22"/>
          <w:lang w:val="en-GB"/>
        </w:rPr>
        <w:t>;</w:t>
      </w:r>
    </w:p>
    <w:p w:rsidR="00B62E45" w:rsidRPr="00B62E45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B62E45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B62E45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B62E45" w:rsidRDefault="00B62E45" w:rsidP="00B62E45">
      <w:pPr>
        <w:jc w:val="both"/>
        <w:rPr>
          <w:rFonts w:ascii="Times New Roman" w:hAnsi="Times New Roman"/>
          <w:sz w:val="22"/>
          <w:szCs w:val="22"/>
        </w:rPr>
      </w:pPr>
      <w:r w:rsidRPr="00B57F0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B57F03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B57F03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B57F0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B62E45" w:rsidRPr="004F3B61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>.</w:t>
      </w:r>
    </w:p>
    <w:p w:rsidR="004D2FD8" w:rsidRDefault="004D2FD8" w:rsidP="00CD51B2">
      <w:pPr>
        <w:spacing w:before="0"/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5B03BC" w:rsidRPr="005B03BC" w:rsidRDefault="00D128CF" w:rsidP="00CD51B2">
      <w:pPr>
        <w:spacing w:before="0"/>
        <w:jc w:val="both"/>
        <w:rPr>
          <w:rFonts w:ascii="Times New Roman" w:hAnsi="Times New Roman"/>
          <w:sz w:val="22"/>
          <w:lang w:val="en-GB"/>
        </w:rPr>
      </w:pPr>
      <w:r w:rsidRPr="00090C57">
        <w:rPr>
          <w:rFonts w:ascii="Times New Roman" w:hAnsi="Times New Roman"/>
          <w:sz w:val="22"/>
          <w:lang w:val="en-GB"/>
        </w:rPr>
        <w:t>Done in English in three originals, two originals being for the Contracting Authority,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7"/>
        <w:gridCol w:w="2880"/>
        <w:gridCol w:w="1170"/>
        <w:gridCol w:w="3414"/>
      </w:tblGrid>
      <w:tr w:rsidR="00D128CF" w:rsidRPr="007B70EE" w:rsidTr="00FE2F19">
        <w:trPr>
          <w:trHeight w:val="520"/>
        </w:trPr>
        <w:tc>
          <w:tcPr>
            <w:tcW w:w="4027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584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D128CF" w:rsidRPr="007B70EE" w:rsidTr="00FE2F19">
        <w:trPr>
          <w:trHeight w:val="555"/>
        </w:trPr>
        <w:tc>
          <w:tcPr>
            <w:tcW w:w="1147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8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14" w:type="dxa"/>
            <w:vAlign w:val="center"/>
          </w:tcPr>
          <w:p w:rsidR="00D128CF" w:rsidRPr="00E821E0" w:rsidRDefault="000707D3" w:rsidP="000707D3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sr-Latn-BA"/>
              </w:rPr>
            </w:pPr>
            <w:r w:rsidRPr="000707D3">
              <w:rPr>
                <w:rFonts w:ascii="Times New Roman" w:hAnsi="Times New Roman"/>
                <w:b/>
                <w:sz w:val="22"/>
                <w:lang w:val="en-GB"/>
              </w:rPr>
              <w:t>P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rof. dr Vladimir Petrović</w:t>
            </w:r>
          </w:p>
        </w:tc>
      </w:tr>
      <w:tr w:rsidR="00D128CF" w:rsidRPr="007B70EE" w:rsidTr="00FE2F19">
        <w:trPr>
          <w:trHeight w:val="57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14" w:type="dxa"/>
            <w:vAlign w:val="center"/>
          </w:tcPr>
          <w:p w:rsidR="00D128CF" w:rsidRPr="00090C57" w:rsidRDefault="000707D3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707D3">
              <w:rPr>
                <w:rFonts w:ascii="Times New Roman" w:hAnsi="Times New Roman"/>
                <w:b/>
                <w:sz w:val="22"/>
                <w:lang w:val="en-GB"/>
              </w:rPr>
              <w:t>Acting Director</w:t>
            </w:r>
          </w:p>
        </w:tc>
      </w:tr>
      <w:tr w:rsidR="00D128CF" w:rsidRPr="007B70EE" w:rsidTr="00C121B3">
        <w:trPr>
          <w:trHeight w:val="73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128CF" w:rsidRPr="007B70EE" w:rsidTr="00C121B3">
        <w:trPr>
          <w:trHeight w:val="719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CD51B2">
      <w:pPr>
        <w:spacing w:before="0" w:after="0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28B" w:rsidRDefault="009F128B">
      <w:r>
        <w:separator/>
      </w:r>
    </w:p>
    <w:p w:rsidR="009F128B" w:rsidRDefault="009F128B"/>
  </w:endnote>
  <w:endnote w:type="continuationSeparator" w:id="0">
    <w:p w:rsidR="009F128B" w:rsidRDefault="009F128B">
      <w:r>
        <w:continuationSeparator/>
      </w:r>
    </w:p>
    <w:p w:rsidR="009F128B" w:rsidRDefault="009F12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B62E45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331FB">
      <w:rPr>
        <w:rFonts w:ascii="Times New Roman" w:hAnsi="Times New Roman"/>
        <w:b/>
        <w:sz w:val="18"/>
        <w:lang w:val="en-GB"/>
      </w:rPr>
      <w:t xml:space="preserve">December </w:t>
    </w:r>
    <w:r>
      <w:rPr>
        <w:rFonts w:ascii="Times New Roman" w:hAnsi="Times New Roman"/>
        <w:b/>
        <w:sz w:val="18"/>
        <w:lang w:val="en-GB"/>
      </w:rPr>
      <w:t>2021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7E08A4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7E08A4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28B" w:rsidRDefault="009F128B" w:rsidP="008056C4">
      <w:pPr>
        <w:spacing w:before="0" w:after="0"/>
      </w:pPr>
      <w:r>
        <w:separator/>
      </w:r>
    </w:p>
  </w:footnote>
  <w:footnote w:type="continuationSeparator" w:id="0">
    <w:p w:rsidR="009F128B" w:rsidRDefault="009F128B">
      <w:r>
        <w:continuationSeparator/>
      </w:r>
    </w:p>
    <w:p w:rsidR="009F128B" w:rsidRDefault="009F128B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4F3B61" w:rsidRPr="00E8632B" w:rsidRDefault="004F3B61" w:rsidP="004F3B6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>
        <w:rPr>
          <w:lang w:val="en-GB"/>
        </w:rPr>
        <w:tab/>
      </w:r>
      <w:r w:rsidRPr="00090C57">
        <w:rPr>
          <w:lang w:val="en-GB"/>
        </w:rPr>
        <w:t>DDP (Delivered Duty Paid)</w:t>
      </w:r>
      <w:r>
        <w:rPr>
          <w:sz w:val="22"/>
          <w:szCs w:val="22"/>
          <w:lang w:val="en-GB"/>
        </w:rPr>
        <w:t xml:space="preserve"> </w:t>
      </w:r>
      <w:r w:rsidRPr="009B30FB">
        <w:rPr>
          <w:lang w:val="en-GB"/>
        </w:rPr>
        <w:t>-</w:t>
      </w:r>
      <w:r>
        <w:rPr>
          <w:lang w:val="en-GB"/>
        </w:rPr>
        <w:t xml:space="preserve"> Incoterms 201</w:t>
      </w:r>
      <w:r w:rsidRPr="009B30FB">
        <w:rPr>
          <w:lang w:val="en-GB"/>
        </w:rPr>
        <w:t>0 International Chamber of Commerce</w:t>
      </w:r>
      <w:r>
        <w:rPr>
          <w:lang w:val="en-GB"/>
        </w:rPr>
        <w:t xml:space="preserve">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884" w:rsidRPr="00E821E0" w:rsidRDefault="007E08A4" w:rsidP="00E821E0">
    <w:pPr>
      <w:pStyle w:val="Header"/>
    </w:pPr>
    <w:r>
      <w:rPr>
        <w:noProof/>
        <w:lang w:val="sr-Latn-RS" w:eastAsia="sr-Latn-RS"/>
      </w:rPr>
      <w:drawing>
        <wp:inline distT="0" distB="0" distL="0" distR="0" wp14:anchorId="6264E068" wp14:editId="5301EFB0">
          <wp:extent cx="2495550" cy="566366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1023" cy="569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4302B"/>
    <w:multiLevelType w:val="hybridMultilevel"/>
    <w:tmpl w:val="3D009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07D3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6773"/>
    <w:rsid w:val="001108BA"/>
    <w:rsid w:val="00111B28"/>
    <w:rsid w:val="001139A1"/>
    <w:rsid w:val="00113B66"/>
    <w:rsid w:val="00115916"/>
    <w:rsid w:val="001177D9"/>
    <w:rsid w:val="001302A7"/>
    <w:rsid w:val="0014659F"/>
    <w:rsid w:val="00150767"/>
    <w:rsid w:val="001536B3"/>
    <w:rsid w:val="001551EE"/>
    <w:rsid w:val="00157DEE"/>
    <w:rsid w:val="00163F67"/>
    <w:rsid w:val="00165201"/>
    <w:rsid w:val="001766D9"/>
    <w:rsid w:val="00181980"/>
    <w:rsid w:val="00185069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1F5B5A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284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7C79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4945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355F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3B61"/>
    <w:rsid w:val="004F5C57"/>
    <w:rsid w:val="00501FF0"/>
    <w:rsid w:val="005073FE"/>
    <w:rsid w:val="00507F82"/>
    <w:rsid w:val="00514BE0"/>
    <w:rsid w:val="00525100"/>
    <w:rsid w:val="00531265"/>
    <w:rsid w:val="005355FD"/>
    <w:rsid w:val="00535826"/>
    <w:rsid w:val="00536B4A"/>
    <w:rsid w:val="00540931"/>
    <w:rsid w:val="00543884"/>
    <w:rsid w:val="00546D59"/>
    <w:rsid w:val="00546FB0"/>
    <w:rsid w:val="00552705"/>
    <w:rsid w:val="00560327"/>
    <w:rsid w:val="0056438D"/>
    <w:rsid w:val="005660B2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6E70"/>
    <w:rsid w:val="00627EBD"/>
    <w:rsid w:val="006311FE"/>
    <w:rsid w:val="00633829"/>
    <w:rsid w:val="00637E47"/>
    <w:rsid w:val="006408AC"/>
    <w:rsid w:val="006600AB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06E9"/>
    <w:rsid w:val="006F5A0D"/>
    <w:rsid w:val="006F73F2"/>
    <w:rsid w:val="00711C72"/>
    <w:rsid w:val="007238B1"/>
    <w:rsid w:val="00731264"/>
    <w:rsid w:val="0073285E"/>
    <w:rsid w:val="0073450F"/>
    <w:rsid w:val="0074358C"/>
    <w:rsid w:val="007475F9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1974"/>
    <w:rsid w:val="007B65DB"/>
    <w:rsid w:val="007B70EE"/>
    <w:rsid w:val="007C0BDD"/>
    <w:rsid w:val="007C1656"/>
    <w:rsid w:val="007C75E0"/>
    <w:rsid w:val="007D201C"/>
    <w:rsid w:val="007D5FA2"/>
    <w:rsid w:val="007E08A4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04BBF"/>
    <w:rsid w:val="0091410D"/>
    <w:rsid w:val="00915891"/>
    <w:rsid w:val="00920A51"/>
    <w:rsid w:val="009216AC"/>
    <w:rsid w:val="00921897"/>
    <w:rsid w:val="00922542"/>
    <w:rsid w:val="00930933"/>
    <w:rsid w:val="0093582A"/>
    <w:rsid w:val="0093738D"/>
    <w:rsid w:val="0094670B"/>
    <w:rsid w:val="0095384E"/>
    <w:rsid w:val="00962266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B70A7"/>
    <w:rsid w:val="009C0E86"/>
    <w:rsid w:val="009C72FB"/>
    <w:rsid w:val="009C76A8"/>
    <w:rsid w:val="009D2938"/>
    <w:rsid w:val="009E6BB7"/>
    <w:rsid w:val="009F128B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082A"/>
    <w:rsid w:val="00AC52FD"/>
    <w:rsid w:val="00AC67B0"/>
    <w:rsid w:val="00AC7636"/>
    <w:rsid w:val="00AD5BE2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138D9"/>
    <w:rsid w:val="00B202BC"/>
    <w:rsid w:val="00B210FB"/>
    <w:rsid w:val="00B277E4"/>
    <w:rsid w:val="00B3132B"/>
    <w:rsid w:val="00B3168E"/>
    <w:rsid w:val="00B33809"/>
    <w:rsid w:val="00B346DE"/>
    <w:rsid w:val="00B44DC5"/>
    <w:rsid w:val="00B4772C"/>
    <w:rsid w:val="00B53C5E"/>
    <w:rsid w:val="00B56D63"/>
    <w:rsid w:val="00B57CFA"/>
    <w:rsid w:val="00B603DB"/>
    <w:rsid w:val="00B62E45"/>
    <w:rsid w:val="00B63280"/>
    <w:rsid w:val="00B6690B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1B3"/>
    <w:rsid w:val="00C12AF0"/>
    <w:rsid w:val="00C13C29"/>
    <w:rsid w:val="00C17310"/>
    <w:rsid w:val="00C302E1"/>
    <w:rsid w:val="00C309F5"/>
    <w:rsid w:val="00C3235B"/>
    <w:rsid w:val="00C34E40"/>
    <w:rsid w:val="00C44C62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8251E"/>
    <w:rsid w:val="00C877E8"/>
    <w:rsid w:val="00C92434"/>
    <w:rsid w:val="00C947B6"/>
    <w:rsid w:val="00CA1354"/>
    <w:rsid w:val="00CA1A45"/>
    <w:rsid w:val="00CA6C68"/>
    <w:rsid w:val="00CB3FCA"/>
    <w:rsid w:val="00CB6351"/>
    <w:rsid w:val="00CC367C"/>
    <w:rsid w:val="00CC7DE2"/>
    <w:rsid w:val="00CD243E"/>
    <w:rsid w:val="00CD51B2"/>
    <w:rsid w:val="00CD7F25"/>
    <w:rsid w:val="00CF25F0"/>
    <w:rsid w:val="00CF33C6"/>
    <w:rsid w:val="00CF44E9"/>
    <w:rsid w:val="00CF6CFA"/>
    <w:rsid w:val="00CF6FDB"/>
    <w:rsid w:val="00D128CF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60AB"/>
    <w:rsid w:val="00D95414"/>
    <w:rsid w:val="00D979C6"/>
    <w:rsid w:val="00DA4AB8"/>
    <w:rsid w:val="00DB0C2F"/>
    <w:rsid w:val="00DC45BC"/>
    <w:rsid w:val="00DC50E2"/>
    <w:rsid w:val="00DC54A0"/>
    <w:rsid w:val="00DC6C9C"/>
    <w:rsid w:val="00DC718F"/>
    <w:rsid w:val="00DD0624"/>
    <w:rsid w:val="00DD2FBB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27FB"/>
    <w:rsid w:val="00E730A5"/>
    <w:rsid w:val="00E811F3"/>
    <w:rsid w:val="00E821E0"/>
    <w:rsid w:val="00E8256B"/>
    <w:rsid w:val="00E82BC3"/>
    <w:rsid w:val="00E85F91"/>
    <w:rsid w:val="00E8632B"/>
    <w:rsid w:val="00E90EDC"/>
    <w:rsid w:val="00E916B1"/>
    <w:rsid w:val="00EB3A20"/>
    <w:rsid w:val="00EC057A"/>
    <w:rsid w:val="00ED4B36"/>
    <w:rsid w:val="00EE0ED9"/>
    <w:rsid w:val="00EE2E55"/>
    <w:rsid w:val="00EF5976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3F80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2455"/>
    <w:rsid w:val="00FE3081"/>
    <w:rsid w:val="00FE3E3B"/>
    <w:rsid w:val="00FF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rsid w:val="00543884"/>
    <w:rPr>
      <w:rFonts w:ascii="Arial" w:hAnsi="Arial"/>
      <w:snapToGrid w:val="0"/>
      <w:lang w:val="sv-SE"/>
    </w:rPr>
  </w:style>
  <w:style w:type="paragraph" w:customStyle="1" w:styleId="TableContents">
    <w:name w:val="Table Contents"/>
    <w:basedOn w:val="Normal"/>
    <w:qFormat/>
    <w:rsid w:val="00626E70"/>
    <w:pPr>
      <w:widowControl w:val="0"/>
      <w:suppressLineNumbers/>
      <w:suppressAutoHyphens/>
      <w:spacing w:before="0" w:after="0"/>
    </w:pPr>
    <w:rPr>
      <w:rFonts w:ascii="Liberation Serif" w:eastAsia="NSimSun" w:hAnsi="Liberation Serif" w:cs="Lucida Sans"/>
      <w:snapToGrid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9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EA0B1-C9CA-44DE-9F27-7ADAFED1D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609</Words>
  <Characters>3391</Characters>
  <Application>Microsoft Office Word</Application>
  <DocSecurity>0</DocSecurity>
  <Lines>125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3901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H6</cp:lastModifiedBy>
  <cp:revision>2</cp:revision>
  <cp:lastPrinted>2012-10-22T09:58:00Z</cp:lastPrinted>
  <dcterms:created xsi:type="dcterms:W3CDTF">2022-11-09T11:50:00Z</dcterms:created>
  <dcterms:modified xsi:type="dcterms:W3CDTF">2022-11-09T11:50:00Z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GrammarlyDocumentId">
    <vt:lpwstr>ddaf66d2ab2d8b5d5d09cf6dadf94377f9d6e35ea09e7453fc5e3c0698c8abd9</vt:lpwstr>
  </property>
</Properties>
</file>